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VirtualX Partner Overview</w:t>
      </w:r>
    </w:p>
    <w:p>
      <w:pPr>
        <w:pStyle w:val="Normal"/>
      </w:pPr>
      <w:r>
        <w:t xml:space="preserve">Dragon Alexa · Technical summary for partners and schools</w:t>
      </w:r>
    </w:p>
    <w:p>
      <w:pPr>
        <w:pStyle w:val="Heading2"/>
      </w:pPr>
      <w:r>
        <w:t xml:space="preserve">What VirtualX provides today</w:t>
      </w:r>
    </w:p>
    <w:p>
      <w:pPr>
        <w:pStyle w:val="Normal"/>
      </w:pPr>
      <w:r>
        <w:t xml:space="preserve">520 video lessons across Grades 10, 11 and 12 — five subjects in each grade: Mathematics, Physical Sciences, Life Sciences, Agricultural Sciences and Geography, taught in curriculum order.</w:t>
      </w:r>
    </w:p>
    <w:p>
      <w:pPr>
        <w:pStyle w:val="Normal"/>
      </w:pPr>
      <w:r>
        <w:t xml:space="preserve">Learners watch in any modern browser. Their place is saved in every lesson, so they resume where they stopped. When stuck, a learner can ask a question and receive an answer grounded in the lesson in front of them, with a source linked back to it.</w:t>
      </w:r>
    </w:p>
    <w:p>
      <w:pPr>
        <w:pStyle w:val="Heading2"/>
      </w:pPr>
      <w:r>
        <w:t xml:space="preserve">Partner access</w:t>
      </w:r>
    </w:p>
    <w:p>
      <w:pPr>
        <w:pStyle w:val="Normal"/>
      </w:pPr>
      <w:r>
        <w:t xml:space="preserve">One seat gives one learner access to one grade for 30 days. The partner price is R90 per learner-grade seat. Seats are drawn from atomic pools held and assigned by the partner; a pool cannot be oversold. Learners hold their own accounts, so a partner never holds a learner password.</w:t>
      </w:r>
    </w:p>
    <w:p>
      <w:pPr>
        <w:pStyle w:val="Normal"/>
      </w:pPr>
      <w:r>
        <w:t xml:space="preserve">There is no automatic renewal. Access ends when the term ends and must be bought again deliberately.</w:t>
      </w:r>
    </w:p>
    <w:p>
      <w:pPr>
        <w:pStyle w:val="Heading2"/>
      </w:pPr>
      <w:r>
        <w:t xml:space="preserve">Current boundaries</w:t>
      </w:r>
    </w:p>
    <w:p>
      <w:pPr>
        <w:pStyle w:val="Normal"/>
      </w:pPr>
      <w:r>
        <w:t xml:space="preserve">Lessons stream online; downloading lessons for fully offline viewing is not available today.</w:t>
      </w:r>
    </w:p>
    <w:p>
      <w:pPr>
        <w:pStyle w:val="Normal"/>
      </w:pPr>
      <w:r>
        <w:t xml:space="preserve">Study help accepts text, images and PDFs; voice and video input are not available.</w:t>
      </w:r>
    </w:p>
    <w:p>
      <w:pPr>
        <w:pStyle w:val="Normal"/>
      </w:pPr>
      <w:r>
        <w:t xml:space="preserve">Teacher authoring and adaptive learning paths are not available.</w:t>
      </w:r>
    </w:p>
    <w:p>
      <w:pPr>
        <w:pStyle w:val="Normal"/>
      </w:pPr>
      <w:r>
        <w:t xml:space="preserve">A free tier is not available — access is bought per learner-grade seat.</w:t>
      </w:r>
    </w:p>
    <w:p>
      <w:pPr>
        <w:pStyle w:val="Heading2"/>
      </w:pPr>
      <w:r>
        <w:t xml:space="preserve">Measurement</w:t>
      </w:r>
    </w:p>
    <w:p>
      <w:pPr>
        <w:pStyle w:val="Normal"/>
      </w:pPr>
      <w:r>
        <w:t xml:space="preserve">The platform measures seats assigned and redeemed, lessons opened, time in lesson, progress and study-help use. A partner can conclude usage, reach and engagement across a funded cohort. No academic outcome may be concluded from this data: VirtualX does not measure marks and does not claim to move them.</w:t>
      </w:r>
    </w:p>
    <w:p>
      <w:pPr>
        <w:pStyle w:val="Heading2"/>
      </w:pPr>
      <w:r>
        <w:t xml:space="preserve">Governance</w:t>
      </w:r>
    </w:p>
    <w:p>
      <w:pPr>
        <w:pStyle w:val="Normal"/>
      </w:pPr>
      <w:r>
        <w:t xml:space="preserve">Most users are minors, so the design starts there. Returning from a payment page grants nothing — only a validated provider notification grants access, so a forged or replayed browser return cannot create entitlement.</w:t>
      </w:r>
    </w:p>
    <w:p>
      <w:pPr>
        <w:pStyle w:val="Normal"/>
      </w:pPr>
      <w:r>
        <w:t xml:space="preserve">Policies are published rather than available on request.</w:t>
      </w:r>
    </w:p>
    <w:p>
      <w:pPr>
        <w:pStyle w:val="Normal"/>
      </w:pPr>
      <w:r>
        <w:t xml:space="preserve">Voiceover in the accompanying audio brief is generated using a Dragon Alexa synthetic voice-character.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styleId="Normal">
    <w:name w:val="Normal"/>
    <w:rPr>
      <w:sz w:val="22"/>
    </w:rPr>
  </w:style>
  <w:style w:type="paragraph" w:styleId="Heading1">
    <w:name w:val="heading 1"/>
    <w:rPr>
      <w:b/>
      <w:sz w:val="36"/>
    </w:rPr>
  </w:style>
  <w:style w:type="paragraph" w:styleId="Heading2">
    <w:name w:val="heading 2"/>
    <w:rPr>
      <w:b/>
      <w:sz w:val="28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